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3369" w14:textId="77777777" w:rsidR="006D4C6B" w:rsidRDefault="00DE2436" w:rsidP="00DE2436">
      <w:pPr>
        <w:jc w:val="center"/>
        <w:rPr>
          <w:rFonts w:ascii="Trebuchet MS" w:hAnsi="Trebuchet MS"/>
          <w:b/>
          <w:sz w:val="28"/>
          <w:szCs w:val="28"/>
        </w:rPr>
      </w:pPr>
      <w:bookmarkStart w:id="0" w:name="_GoBack"/>
      <w:bookmarkEnd w:id="0"/>
      <w:r w:rsidRPr="006D4C6B">
        <w:rPr>
          <w:rFonts w:ascii="Trebuchet MS" w:hAnsi="Trebuchet MS"/>
          <w:b/>
          <w:sz w:val="28"/>
          <w:szCs w:val="28"/>
          <w:u w:val="single"/>
        </w:rPr>
        <w:t xml:space="preserve">(Sample/Template) </w:t>
      </w:r>
      <w:r w:rsidR="00B111AB" w:rsidRPr="006D4C6B">
        <w:rPr>
          <w:rFonts w:ascii="Trebuchet MS" w:hAnsi="Trebuchet MS"/>
          <w:b/>
          <w:sz w:val="28"/>
          <w:szCs w:val="28"/>
          <w:u w:val="single"/>
        </w:rPr>
        <w:t>Development Committee Charter</w:t>
      </w:r>
      <w:r w:rsidRPr="006D4C6B">
        <w:rPr>
          <w:rFonts w:ascii="Trebuchet MS" w:hAnsi="Trebuchet MS"/>
          <w:b/>
          <w:sz w:val="28"/>
          <w:szCs w:val="28"/>
          <w:u w:val="single"/>
        </w:rPr>
        <w:t xml:space="preserve"> </w:t>
      </w:r>
      <w:r w:rsidR="00B111AB" w:rsidRPr="006D4C6B">
        <w:rPr>
          <w:rFonts w:ascii="Trebuchet MS" w:hAnsi="Trebuchet MS"/>
          <w:b/>
          <w:sz w:val="28"/>
          <w:szCs w:val="28"/>
        </w:rPr>
        <w:t xml:space="preserve">of </w:t>
      </w:r>
    </w:p>
    <w:p w14:paraId="4A4069F5" w14:textId="6E55CEEC" w:rsidR="00B111AB" w:rsidRPr="006D4C6B" w:rsidRDefault="00DE2436" w:rsidP="00DE2436">
      <w:pPr>
        <w:jc w:val="center"/>
        <w:rPr>
          <w:rFonts w:ascii="Trebuchet MS" w:hAnsi="Trebuchet MS"/>
          <w:b/>
          <w:sz w:val="28"/>
          <w:szCs w:val="28"/>
          <w:u w:val="single"/>
        </w:rPr>
      </w:pPr>
      <w:r w:rsidRPr="006D4C6B">
        <w:rPr>
          <w:rFonts w:ascii="Trebuchet MS" w:hAnsi="Trebuchet MS"/>
          <w:b/>
          <w:sz w:val="28"/>
          <w:szCs w:val="28"/>
          <w:u w:val="single"/>
        </w:rPr>
        <w:t>XYZ</w:t>
      </w:r>
      <w:r w:rsidR="00B111AB" w:rsidRPr="006D4C6B">
        <w:rPr>
          <w:rFonts w:ascii="Trebuchet MS" w:hAnsi="Trebuchet MS"/>
          <w:b/>
          <w:sz w:val="28"/>
          <w:szCs w:val="28"/>
          <w:u w:val="single"/>
        </w:rPr>
        <w:t xml:space="preserve"> Foundation</w:t>
      </w:r>
    </w:p>
    <w:p w14:paraId="242DCBA6" w14:textId="77777777" w:rsidR="00B111AB" w:rsidRPr="00DE2436" w:rsidRDefault="00B111AB" w:rsidP="00B111AB">
      <w:pPr>
        <w:jc w:val="center"/>
        <w:rPr>
          <w:rFonts w:ascii="Trebuchet MS" w:hAnsi="Trebuchet MS"/>
          <w:b/>
          <w:u w:val="single"/>
        </w:rPr>
      </w:pPr>
    </w:p>
    <w:p w14:paraId="0BEA6B83" w14:textId="44ED629E" w:rsidR="00B111AB" w:rsidRPr="00DE2436" w:rsidRDefault="00DE2436" w:rsidP="00B111AB">
      <w:pPr>
        <w:jc w:val="center"/>
        <w:rPr>
          <w:rFonts w:ascii="Trebuchet MS" w:hAnsi="Trebuchet MS"/>
          <w:b/>
          <w:u w:val="single"/>
        </w:rPr>
      </w:pPr>
      <w:r>
        <w:rPr>
          <w:rFonts w:ascii="Trebuchet MS" w:hAnsi="Trebuchet MS"/>
          <w:b/>
          <w:u w:val="single"/>
        </w:rPr>
        <w:t>(Approved on [Date])</w:t>
      </w:r>
    </w:p>
    <w:p w14:paraId="3B2B29A7" w14:textId="77777777" w:rsidR="00B111AB" w:rsidRPr="00DE2436" w:rsidRDefault="00B111AB" w:rsidP="00B111AB">
      <w:pPr>
        <w:rPr>
          <w:rFonts w:ascii="Trebuchet MS" w:hAnsi="Trebuchet MS"/>
        </w:rPr>
      </w:pPr>
    </w:p>
    <w:p w14:paraId="01E9B3D4" w14:textId="77777777" w:rsidR="00B111AB" w:rsidRPr="00DE2436" w:rsidRDefault="00B111AB" w:rsidP="00B111AB">
      <w:pPr>
        <w:jc w:val="center"/>
        <w:rPr>
          <w:rFonts w:ascii="Trebuchet MS" w:hAnsi="Trebuchet MS"/>
        </w:rPr>
      </w:pPr>
    </w:p>
    <w:p w14:paraId="7DA47C6A" w14:textId="77777777" w:rsidR="00B111AB" w:rsidRPr="00DE2436" w:rsidRDefault="00B111AB" w:rsidP="00B111AB">
      <w:pPr>
        <w:rPr>
          <w:rFonts w:ascii="Trebuchet MS" w:hAnsi="Trebuchet MS"/>
        </w:rPr>
      </w:pPr>
      <w:r w:rsidRPr="00DE2436">
        <w:rPr>
          <w:rFonts w:ascii="Trebuchet MS" w:hAnsi="Trebuchet MS"/>
          <w:b/>
        </w:rPr>
        <w:t>General</w:t>
      </w:r>
    </w:p>
    <w:p w14:paraId="2A45FBC0" w14:textId="77777777" w:rsidR="00B111AB" w:rsidRPr="00DE2436" w:rsidRDefault="00B111AB" w:rsidP="00B111AB">
      <w:pPr>
        <w:rPr>
          <w:rFonts w:ascii="Trebuchet MS" w:hAnsi="Trebuchet MS"/>
        </w:rPr>
      </w:pPr>
    </w:p>
    <w:p w14:paraId="59D7CE4A" w14:textId="6DA1BC1A" w:rsidR="00B111AB" w:rsidRPr="00DE2436" w:rsidRDefault="006D4C6B" w:rsidP="00B111AB">
      <w:pPr>
        <w:rPr>
          <w:rFonts w:ascii="Trebuchet MS" w:hAnsi="Trebuchet MS"/>
        </w:rPr>
      </w:pPr>
      <w:r>
        <w:rPr>
          <w:rFonts w:ascii="Trebuchet MS" w:hAnsi="Trebuchet MS"/>
        </w:rPr>
        <w:t xml:space="preserve">The </w:t>
      </w:r>
      <w:r w:rsidR="00B111AB" w:rsidRPr="00DE2436">
        <w:rPr>
          <w:rFonts w:ascii="Trebuchet MS" w:hAnsi="Trebuchet MS"/>
        </w:rPr>
        <w:t xml:space="preserve">Development Committee is a standing committee of the Board of Trustees (the “Board”) of the </w:t>
      </w:r>
      <w:r>
        <w:rPr>
          <w:rFonts w:ascii="Trebuchet MS" w:hAnsi="Trebuchet MS"/>
        </w:rPr>
        <w:t>XYZ</w:t>
      </w:r>
      <w:r w:rsidR="00B111AB" w:rsidRPr="00DE2436">
        <w:rPr>
          <w:rFonts w:ascii="Trebuchet MS" w:hAnsi="Trebuchet MS"/>
        </w:rPr>
        <w:t xml:space="preserve"> Foundation (the “Foundation”) and shall be responsible to the Board. </w:t>
      </w:r>
    </w:p>
    <w:p w14:paraId="4711C90B" w14:textId="77777777" w:rsidR="00B111AB" w:rsidRPr="00DE2436" w:rsidRDefault="00B111AB" w:rsidP="00B111AB">
      <w:pPr>
        <w:rPr>
          <w:rFonts w:ascii="Trebuchet MS" w:hAnsi="Trebuchet MS"/>
        </w:rPr>
      </w:pPr>
    </w:p>
    <w:p w14:paraId="105A94DF" w14:textId="77777777" w:rsidR="00B111AB" w:rsidRPr="00DE2436" w:rsidRDefault="00B111AB" w:rsidP="00B111AB">
      <w:pPr>
        <w:rPr>
          <w:rFonts w:ascii="Trebuchet MS" w:hAnsi="Trebuchet MS"/>
        </w:rPr>
      </w:pPr>
      <w:r w:rsidRPr="00DE2436">
        <w:rPr>
          <w:rFonts w:ascii="Trebuchet MS" w:hAnsi="Trebuchet MS"/>
          <w:b/>
        </w:rPr>
        <w:t>Purpose</w:t>
      </w:r>
    </w:p>
    <w:p w14:paraId="7E0DFBBC" w14:textId="77777777" w:rsidR="00B111AB" w:rsidRPr="00DE2436" w:rsidRDefault="00B111AB" w:rsidP="00B111AB">
      <w:pPr>
        <w:rPr>
          <w:rFonts w:ascii="Trebuchet MS" w:hAnsi="Trebuchet MS"/>
        </w:rPr>
      </w:pPr>
    </w:p>
    <w:p w14:paraId="797F5B7F" w14:textId="03A7108B" w:rsidR="00B111AB" w:rsidRPr="00DE2436" w:rsidRDefault="006D4C6B" w:rsidP="00B111AB">
      <w:pPr>
        <w:rPr>
          <w:rFonts w:ascii="Trebuchet MS" w:hAnsi="Trebuchet MS"/>
        </w:rPr>
      </w:pPr>
      <w:r>
        <w:rPr>
          <w:rFonts w:ascii="Trebuchet MS" w:hAnsi="Trebuchet MS"/>
        </w:rPr>
        <w:t xml:space="preserve">The </w:t>
      </w:r>
      <w:r w:rsidR="00B111AB" w:rsidRPr="00DE2436">
        <w:rPr>
          <w:rFonts w:ascii="Trebuchet MS" w:hAnsi="Trebuchet MS"/>
        </w:rPr>
        <w:t xml:space="preserve">Development Committee shall assist the Board </w:t>
      </w:r>
      <w:r>
        <w:rPr>
          <w:rFonts w:ascii="Trebuchet MS" w:hAnsi="Trebuchet MS"/>
        </w:rPr>
        <w:t xml:space="preserve">in its fundraising duties </w:t>
      </w:r>
      <w:r w:rsidR="00B111AB" w:rsidRPr="00DE2436">
        <w:rPr>
          <w:rFonts w:ascii="Trebuchet MS" w:hAnsi="Trebuchet MS"/>
        </w:rPr>
        <w:t>by reviewing, developing, adopting</w:t>
      </w:r>
      <w:r w:rsidR="00DD32D0">
        <w:rPr>
          <w:rFonts w:ascii="Trebuchet MS" w:hAnsi="Trebuchet MS"/>
        </w:rPr>
        <w:t>,</w:t>
      </w:r>
      <w:r w:rsidR="00B111AB" w:rsidRPr="00DE2436">
        <w:rPr>
          <w:rFonts w:ascii="Trebuchet MS" w:hAnsi="Trebuchet MS"/>
        </w:rPr>
        <w:t xml:space="preserve"> and implementing ideas and proposals to attract funds and services needed to carry out and expand the mission of the Foundation provided that major new initiatives for revenue generation and expenditures of funds will require Board approval.</w:t>
      </w:r>
      <w:r>
        <w:rPr>
          <w:rFonts w:ascii="Trebuchet MS" w:hAnsi="Trebuchet MS"/>
        </w:rPr>
        <w:t xml:space="preserve"> The committee does not supervise or delegate to the development director. </w:t>
      </w:r>
    </w:p>
    <w:p w14:paraId="25E60F40" w14:textId="77777777" w:rsidR="00B111AB" w:rsidRPr="00DE2436" w:rsidRDefault="00B111AB" w:rsidP="00B111AB">
      <w:pPr>
        <w:rPr>
          <w:rFonts w:ascii="Trebuchet MS" w:hAnsi="Trebuchet MS"/>
          <w:b/>
        </w:rPr>
      </w:pPr>
    </w:p>
    <w:p w14:paraId="05E3C453" w14:textId="77777777" w:rsidR="00B111AB" w:rsidRPr="00DE2436" w:rsidRDefault="00B111AB" w:rsidP="00B111AB">
      <w:pPr>
        <w:rPr>
          <w:rFonts w:ascii="Trebuchet MS" w:hAnsi="Trebuchet MS"/>
        </w:rPr>
      </w:pPr>
      <w:r w:rsidRPr="00DE2436">
        <w:rPr>
          <w:rFonts w:ascii="Trebuchet MS" w:hAnsi="Trebuchet MS"/>
          <w:b/>
        </w:rPr>
        <w:t>Functions</w:t>
      </w:r>
    </w:p>
    <w:p w14:paraId="0DEF4EDD" w14:textId="77777777" w:rsidR="00B111AB" w:rsidRPr="00DE2436" w:rsidRDefault="00B111AB" w:rsidP="00B111AB">
      <w:pPr>
        <w:rPr>
          <w:rFonts w:ascii="Trebuchet MS" w:hAnsi="Trebuchet MS"/>
        </w:rPr>
      </w:pPr>
    </w:p>
    <w:p w14:paraId="30B13C4B" w14:textId="4D77B86E" w:rsidR="00B111AB" w:rsidRPr="00DE2436" w:rsidRDefault="00B111AB" w:rsidP="00B111AB">
      <w:pPr>
        <w:rPr>
          <w:rFonts w:ascii="Trebuchet MS" w:hAnsi="Trebuchet MS"/>
        </w:rPr>
      </w:pPr>
      <w:r w:rsidRPr="00DE2436">
        <w:rPr>
          <w:rFonts w:ascii="Trebuchet MS" w:hAnsi="Trebuchet MS"/>
        </w:rPr>
        <w:t>The functions of the Development Committee shall include, but not be limited to:</w:t>
      </w:r>
    </w:p>
    <w:p w14:paraId="1A62D214" w14:textId="77777777" w:rsidR="00B111AB" w:rsidRPr="00DE2436" w:rsidRDefault="00B111AB" w:rsidP="00B111AB">
      <w:pPr>
        <w:rPr>
          <w:rFonts w:ascii="Trebuchet MS" w:hAnsi="Trebuchet MS"/>
        </w:rPr>
      </w:pPr>
    </w:p>
    <w:p w14:paraId="5C221205" w14:textId="77777777" w:rsidR="00B111AB" w:rsidRPr="00DE2436" w:rsidRDefault="00B111AB" w:rsidP="00B111AB">
      <w:pPr>
        <w:pStyle w:val="ListParagraph"/>
        <w:numPr>
          <w:ilvl w:val="0"/>
          <w:numId w:val="21"/>
        </w:numPr>
        <w:rPr>
          <w:rFonts w:ascii="Trebuchet MS" w:hAnsi="Trebuchet MS"/>
        </w:rPr>
      </w:pPr>
      <w:r w:rsidRPr="00DE2436">
        <w:rPr>
          <w:rFonts w:ascii="Trebuchet MS" w:hAnsi="Trebuchet MS"/>
        </w:rPr>
        <w:t>Identifying sources of funding and strategies for success.</w:t>
      </w:r>
    </w:p>
    <w:p w14:paraId="221A31F8" w14:textId="2698380D" w:rsidR="00B111AB" w:rsidRPr="00DE2436" w:rsidRDefault="00B111AB" w:rsidP="00B111AB">
      <w:pPr>
        <w:pStyle w:val="ListParagraph"/>
        <w:numPr>
          <w:ilvl w:val="0"/>
          <w:numId w:val="21"/>
        </w:numPr>
        <w:rPr>
          <w:rFonts w:ascii="Trebuchet MS" w:hAnsi="Trebuchet MS"/>
        </w:rPr>
      </w:pPr>
      <w:r w:rsidRPr="00DE2436">
        <w:rPr>
          <w:rFonts w:ascii="Trebuchet MS" w:hAnsi="Trebuchet MS"/>
        </w:rPr>
        <w:t xml:space="preserve">Working with the </w:t>
      </w:r>
      <w:r w:rsidR="00DD32D0">
        <w:rPr>
          <w:rFonts w:ascii="Trebuchet MS" w:hAnsi="Trebuchet MS"/>
        </w:rPr>
        <w:t>e</w:t>
      </w:r>
      <w:r w:rsidRPr="00DE2436">
        <w:rPr>
          <w:rFonts w:ascii="Trebuchet MS" w:hAnsi="Trebuchet MS"/>
        </w:rPr>
        <w:t xml:space="preserve">xecutive </w:t>
      </w:r>
      <w:r w:rsidR="00DD32D0">
        <w:rPr>
          <w:rFonts w:ascii="Trebuchet MS" w:hAnsi="Trebuchet MS"/>
        </w:rPr>
        <w:t>d</w:t>
      </w:r>
      <w:r w:rsidRPr="00DE2436">
        <w:rPr>
          <w:rFonts w:ascii="Trebuchet MS" w:hAnsi="Trebuchet MS"/>
        </w:rPr>
        <w:t>irector and the Finance Committee to define short</w:t>
      </w:r>
      <w:r w:rsidR="00DD32D0">
        <w:rPr>
          <w:rFonts w:ascii="Trebuchet MS" w:hAnsi="Trebuchet MS"/>
        </w:rPr>
        <w:t>-</w:t>
      </w:r>
      <w:r w:rsidRPr="00DE2436">
        <w:rPr>
          <w:rFonts w:ascii="Trebuchet MS" w:hAnsi="Trebuchet MS"/>
        </w:rPr>
        <w:t>term and long</w:t>
      </w:r>
      <w:r w:rsidR="006D4C6B">
        <w:rPr>
          <w:rFonts w:ascii="Trebuchet MS" w:hAnsi="Trebuchet MS"/>
        </w:rPr>
        <w:t>-</w:t>
      </w:r>
      <w:r w:rsidRPr="00DE2436">
        <w:rPr>
          <w:rFonts w:ascii="Trebuchet MS" w:hAnsi="Trebuchet MS"/>
        </w:rPr>
        <w:t>term funding needs.</w:t>
      </w:r>
    </w:p>
    <w:p w14:paraId="61FBBD00" w14:textId="6BEA46BD" w:rsidR="00B111AB" w:rsidRPr="00DE2436" w:rsidRDefault="00B111AB" w:rsidP="00B111AB">
      <w:pPr>
        <w:pStyle w:val="ListParagraph"/>
        <w:numPr>
          <w:ilvl w:val="0"/>
          <w:numId w:val="21"/>
        </w:numPr>
        <w:rPr>
          <w:rFonts w:ascii="Trebuchet MS" w:hAnsi="Trebuchet MS"/>
        </w:rPr>
      </w:pPr>
      <w:r w:rsidRPr="00DE2436">
        <w:rPr>
          <w:rFonts w:ascii="Trebuchet MS" w:hAnsi="Trebuchet MS"/>
        </w:rPr>
        <w:t>Developing plans and proposals with respect to fundraising including solicitation of donations, sponsorships, underwriting, and fundraising activities, and reviewing</w:t>
      </w:r>
      <w:r w:rsidR="00DD32D0">
        <w:rPr>
          <w:rFonts w:ascii="Trebuchet MS" w:hAnsi="Trebuchet MS"/>
        </w:rPr>
        <w:t xml:space="preserve"> the</w:t>
      </w:r>
      <w:r w:rsidRPr="00DE2436">
        <w:rPr>
          <w:rFonts w:ascii="Trebuchet MS" w:hAnsi="Trebuchet MS"/>
        </w:rPr>
        <w:t xml:space="preserve"> progress of implementation of these plans and proposals.</w:t>
      </w:r>
    </w:p>
    <w:p w14:paraId="118E94E6" w14:textId="77777777" w:rsidR="00B111AB" w:rsidRPr="00DE2436" w:rsidRDefault="00B111AB" w:rsidP="00B111AB">
      <w:pPr>
        <w:pStyle w:val="ListParagraph"/>
        <w:numPr>
          <w:ilvl w:val="0"/>
          <w:numId w:val="21"/>
        </w:numPr>
        <w:rPr>
          <w:rFonts w:ascii="Trebuchet MS" w:hAnsi="Trebuchet MS"/>
        </w:rPr>
      </w:pPr>
      <w:r w:rsidRPr="00DE2436">
        <w:rPr>
          <w:rFonts w:ascii="Trebuchet MS" w:hAnsi="Trebuchet MS"/>
        </w:rPr>
        <w:t>Evaluating costs and benefits of fundraising activities and fundraising-to-management expense ratios.</w:t>
      </w:r>
    </w:p>
    <w:p w14:paraId="25F3049D" w14:textId="15A8B88C" w:rsidR="00B111AB" w:rsidRPr="00DE2436" w:rsidRDefault="00B111AB" w:rsidP="00B111AB">
      <w:pPr>
        <w:pStyle w:val="ListParagraph"/>
        <w:numPr>
          <w:ilvl w:val="0"/>
          <w:numId w:val="21"/>
        </w:numPr>
        <w:rPr>
          <w:rFonts w:ascii="Trebuchet MS" w:hAnsi="Trebuchet MS"/>
        </w:rPr>
      </w:pPr>
      <w:r w:rsidRPr="00DE2436">
        <w:rPr>
          <w:rFonts w:ascii="Trebuchet MS" w:hAnsi="Trebuchet MS"/>
        </w:rPr>
        <w:t xml:space="preserve">Reviewing the Foundation’s systems for recording and maintaining data </w:t>
      </w:r>
      <w:r w:rsidR="006D4C6B">
        <w:rPr>
          <w:rFonts w:ascii="Trebuchet MS" w:hAnsi="Trebuchet MS"/>
        </w:rPr>
        <w:t xml:space="preserve">on </w:t>
      </w:r>
      <w:r w:rsidRPr="00DE2436">
        <w:rPr>
          <w:rFonts w:ascii="Trebuchet MS" w:hAnsi="Trebuchet MS"/>
        </w:rPr>
        <w:t>sources and amounts of donations, sponsorships, underwriting</w:t>
      </w:r>
      <w:r w:rsidR="00DD32D0">
        <w:rPr>
          <w:rFonts w:ascii="Trebuchet MS" w:hAnsi="Trebuchet MS"/>
        </w:rPr>
        <w:t>,</w:t>
      </w:r>
      <w:r w:rsidRPr="00DE2436">
        <w:rPr>
          <w:rFonts w:ascii="Trebuchet MS" w:hAnsi="Trebuchet MS"/>
        </w:rPr>
        <w:t xml:space="preserve"> or other funds raised.</w:t>
      </w:r>
    </w:p>
    <w:p w14:paraId="7704B254" w14:textId="6A7AF4C0" w:rsidR="00B111AB" w:rsidRPr="00DE2436" w:rsidRDefault="00B111AB" w:rsidP="00B111AB">
      <w:pPr>
        <w:pStyle w:val="ListParagraph"/>
        <w:numPr>
          <w:ilvl w:val="0"/>
          <w:numId w:val="21"/>
        </w:numPr>
        <w:rPr>
          <w:rFonts w:ascii="Trebuchet MS" w:hAnsi="Trebuchet MS"/>
        </w:rPr>
      </w:pPr>
      <w:r w:rsidRPr="00DE2436">
        <w:rPr>
          <w:rFonts w:ascii="Trebuchet MS" w:hAnsi="Trebuchet MS"/>
        </w:rPr>
        <w:t xml:space="preserve">Creation of one or more subcommittees, as necessary or appropriate, to assist in ensuring the success of special activities including, for example, </w:t>
      </w:r>
      <w:r w:rsidR="006D4C6B">
        <w:rPr>
          <w:rFonts w:ascii="Trebuchet MS" w:hAnsi="Trebuchet MS"/>
        </w:rPr>
        <w:t>our annual gala.</w:t>
      </w:r>
    </w:p>
    <w:p w14:paraId="0A3A42AB" w14:textId="77777777" w:rsidR="00B111AB" w:rsidRPr="00DE2436" w:rsidRDefault="00B111AB" w:rsidP="00B111AB">
      <w:pPr>
        <w:pStyle w:val="ListParagraph"/>
        <w:numPr>
          <w:ilvl w:val="0"/>
          <w:numId w:val="21"/>
        </w:numPr>
        <w:rPr>
          <w:rFonts w:ascii="Trebuchet MS" w:hAnsi="Trebuchet MS"/>
        </w:rPr>
      </w:pPr>
      <w:r w:rsidRPr="00DE2436">
        <w:rPr>
          <w:rFonts w:ascii="Trebuchet MS" w:hAnsi="Trebuchet MS"/>
        </w:rPr>
        <w:t>Identifying community and business leaders to work with Board members in fundraising activities.</w:t>
      </w:r>
    </w:p>
    <w:p w14:paraId="781C613A" w14:textId="38AB22EA" w:rsidR="00B111AB" w:rsidRPr="00DE2436" w:rsidRDefault="00B111AB" w:rsidP="00B111AB">
      <w:pPr>
        <w:pStyle w:val="ListParagraph"/>
        <w:numPr>
          <w:ilvl w:val="0"/>
          <w:numId w:val="21"/>
        </w:numPr>
        <w:rPr>
          <w:rFonts w:ascii="Trebuchet MS" w:hAnsi="Trebuchet MS"/>
        </w:rPr>
      </w:pPr>
      <w:r w:rsidRPr="00DE2436">
        <w:rPr>
          <w:rFonts w:ascii="Trebuchet MS" w:hAnsi="Trebuchet MS"/>
        </w:rPr>
        <w:t>Monitoring the Foundation’s communications to donors, sponsors</w:t>
      </w:r>
      <w:r w:rsidR="00DD32D0">
        <w:rPr>
          <w:rFonts w:ascii="Trebuchet MS" w:hAnsi="Trebuchet MS"/>
        </w:rPr>
        <w:t>,</w:t>
      </w:r>
      <w:r w:rsidRPr="00DE2436">
        <w:rPr>
          <w:rFonts w:ascii="Trebuchet MS" w:hAnsi="Trebuchet MS"/>
        </w:rPr>
        <w:t xml:space="preserve"> and underwriters</w:t>
      </w:r>
      <w:r w:rsidR="00DD32D0">
        <w:rPr>
          <w:rFonts w:ascii="Trebuchet MS" w:hAnsi="Trebuchet MS"/>
        </w:rPr>
        <w:t>,</w:t>
      </w:r>
      <w:r w:rsidRPr="00DE2436">
        <w:rPr>
          <w:rFonts w:ascii="Trebuchet MS" w:hAnsi="Trebuchet MS"/>
        </w:rPr>
        <w:t xml:space="preserve"> and maintaining information regarding donations.</w:t>
      </w:r>
    </w:p>
    <w:p w14:paraId="73CAD65E" w14:textId="77777777" w:rsidR="00B111AB" w:rsidRPr="00DE2436" w:rsidRDefault="00B111AB" w:rsidP="00B111AB">
      <w:pPr>
        <w:pStyle w:val="ListParagraph"/>
        <w:numPr>
          <w:ilvl w:val="0"/>
          <w:numId w:val="21"/>
        </w:numPr>
        <w:rPr>
          <w:rFonts w:ascii="Trebuchet MS" w:hAnsi="Trebuchet MS"/>
        </w:rPr>
      </w:pPr>
      <w:r w:rsidRPr="00DE2436">
        <w:rPr>
          <w:rFonts w:ascii="Trebuchet MS" w:hAnsi="Trebuchet MS"/>
        </w:rPr>
        <w:lastRenderedPageBreak/>
        <w:t>Submission of a written report of committee activity and any request for Board action to the Board chair at least two weeks prior to each Board meeting.</w:t>
      </w:r>
    </w:p>
    <w:p w14:paraId="478ECE5B" w14:textId="7D468495" w:rsidR="00B111AB" w:rsidRPr="00DE2436" w:rsidRDefault="00B111AB" w:rsidP="00B111AB">
      <w:pPr>
        <w:pStyle w:val="ListParagraph"/>
        <w:numPr>
          <w:ilvl w:val="0"/>
          <w:numId w:val="21"/>
        </w:numPr>
        <w:rPr>
          <w:rFonts w:ascii="Trebuchet MS" w:hAnsi="Trebuchet MS"/>
        </w:rPr>
      </w:pPr>
      <w:r w:rsidRPr="00DE2436">
        <w:rPr>
          <w:rFonts w:ascii="Trebuchet MS" w:hAnsi="Trebuchet MS"/>
        </w:rPr>
        <w:t>Assisting Board members in fulfillment of their give/get requirements</w:t>
      </w:r>
      <w:r w:rsidR="001756D2">
        <w:rPr>
          <w:rFonts w:ascii="Trebuchet MS" w:hAnsi="Trebuchet MS"/>
        </w:rPr>
        <w:t>.</w:t>
      </w:r>
    </w:p>
    <w:p w14:paraId="4C8F5CCA" w14:textId="77777777" w:rsidR="00B111AB" w:rsidRPr="00DE2436" w:rsidRDefault="00B111AB" w:rsidP="00B111AB">
      <w:pPr>
        <w:rPr>
          <w:rFonts w:ascii="Trebuchet MS" w:hAnsi="Trebuchet MS"/>
        </w:rPr>
      </w:pPr>
    </w:p>
    <w:p w14:paraId="32E78228" w14:textId="77777777" w:rsidR="00B111AB" w:rsidRPr="00DE2436" w:rsidRDefault="00B111AB" w:rsidP="00B111AB">
      <w:pPr>
        <w:keepNext/>
        <w:rPr>
          <w:rFonts w:ascii="Trebuchet MS" w:hAnsi="Trebuchet MS"/>
        </w:rPr>
      </w:pPr>
      <w:r w:rsidRPr="00DE2436">
        <w:rPr>
          <w:rFonts w:ascii="Trebuchet MS" w:hAnsi="Trebuchet MS"/>
          <w:b/>
        </w:rPr>
        <w:t>Membership</w:t>
      </w:r>
    </w:p>
    <w:p w14:paraId="76790B06" w14:textId="77777777" w:rsidR="00B111AB" w:rsidRPr="00DE2436" w:rsidRDefault="00B111AB" w:rsidP="00B111AB">
      <w:pPr>
        <w:pStyle w:val="ListParagraph"/>
        <w:keepNext/>
        <w:ind w:left="0"/>
        <w:rPr>
          <w:rFonts w:ascii="Trebuchet MS" w:hAnsi="Trebuchet MS"/>
        </w:rPr>
      </w:pPr>
    </w:p>
    <w:p w14:paraId="1CA8E4DC" w14:textId="069A8397" w:rsidR="00B111AB" w:rsidRPr="00DE2436" w:rsidRDefault="00B111AB" w:rsidP="00B111AB">
      <w:pPr>
        <w:pStyle w:val="ListParagraph"/>
        <w:keepNext/>
        <w:ind w:left="0"/>
        <w:rPr>
          <w:rFonts w:ascii="Trebuchet MS" w:hAnsi="Trebuchet MS"/>
        </w:rPr>
      </w:pPr>
      <w:r w:rsidRPr="00DE2436">
        <w:rPr>
          <w:rFonts w:ascii="Trebuchet MS" w:hAnsi="Trebuchet MS"/>
        </w:rPr>
        <w:t xml:space="preserve">The Development Committee shall consist of up to </w:t>
      </w:r>
      <w:r w:rsidR="006D4C6B">
        <w:rPr>
          <w:rFonts w:ascii="Trebuchet MS" w:hAnsi="Trebuchet MS"/>
        </w:rPr>
        <w:t>eight (8</w:t>
      </w:r>
      <w:r w:rsidRPr="00DE2436">
        <w:rPr>
          <w:rFonts w:ascii="Trebuchet MS" w:hAnsi="Trebuchet MS"/>
        </w:rPr>
        <w:t>) Board members. The Development Committee may recruit up to five (5) additional non</w:t>
      </w:r>
      <w:r w:rsidR="001756D2">
        <w:rPr>
          <w:rFonts w:ascii="Trebuchet MS" w:hAnsi="Trebuchet MS"/>
        </w:rPr>
        <w:t>-</w:t>
      </w:r>
      <w:r w:rsidRPr="00DE2436">
        <w:rPr>
          <w:rFonts w:ascii="Trebuchet MS" w:hAnsi="Trebuchet MS"/>
        </w:rPr>
        <w:t xml:space="preserve">board members to serve on the </w:t>
      </w:r>
      <w:r w:rsidR="001756D2">
        <w:rPr>
          <w:rFonts w:ascii="Trebuchet MS" w:hAnsi="Trebuchet MS"/>
        </w:rPr>
        <w:t>c</w:t>
      </w:r>
      <w:r w:rsidRPr="00DE2436">
        <w:rPr>
          <w:rFonts w:ascii="Trebuchet MS" w:hAnsi="Trebuchet MS"/>
        </w:rPr>
        <w:t xml:space="preserve">ommittee with voting power provided that the number of Board members on the </w:t>
      </w:r>
      <w:r w:rsidR="001756D2">
        <w:rPr>
          <w:rFonts w:ascii="Trebuchet MS" w:hAnsi="Trebuchet MS"/>
        </w:rPr>
        <w:t>c</w:t>
      </w:r>
      <w:r w:rsidRPr="00DE2436">
        <w:rPr>
          <w:rFonts w:ascii="Trebuchet MS" w:hAnsi="Trebuchet MS"/>
        </w:rPr>
        <w:t xml:space="preserve">ommittee shall always be a majority of members of the committee and the Chair of the </w:t>
      </w:r>
      <w:r w:rsidR="001756D2">
        <w:rPr>
          <w:rFonts w:ascii="Trebuchet MS" w:hAnsi="Trebuchet MS"/>
        </w:rPr>
        <w:t>c</w:t>
      </w:r>
      <w:r w:rsidRPr="00DE2436">
        <w:rPr>
          <w:rFonts w:ascii="Trebuchet MS" w:hAnsi="Trebuchet MS"/>
        </w:rPr>
        <w:t>ommittee shall be a Board member. Members shall be appointed by the Board of Trustees for two (2)</w:t>
      </w:r>
      <w:r w:rsidR="001756D2">
        <w:rPr>
          <w:rFonts w:ascii="Trebuchet MS" w:hAnsi="Trebuchet MS"/>
        </w:rPr>
        <w:t>-</w:t>
      </w:r>
      <w:r w:rsidRPr="00DE2436">
        <w:rPr>
          <w:rFonts w:ascii="Trebuchet MS" w:hAnsi="Trebuchet MS"/>
        </w:rPr>
        <w:t>year terms and shall be eligible for reappointment except that half of the initial committee members shall serve one (1)</w:t>
      </w:r>
      <w:r w:rsidR="001756D2">
        <w:rPr>
          <w:rFonts w:ascii="Trebuchet MS" w:hAnsi="Trebuchet MS"/>
        </w:rPr>
        <w:t>-</w:t>
      </w:r>
      <w:r w:rsidRPr="00DE2436">
        <w:rPr>
          <w:rFonts w:ascii="Trebuchet MS" w:hAnsi="Trebuchet MS"/>
        </w:rPr>
        <w:t>year terms so that terms are staggered.</w:t>
      </w:r>
    </w:p>
    <w:p w14:paraId="1660932E" w14:textId="77777777" w:rsidR="00B111AB" w:rsidRPr="00DE2436" w:rsidRDefault="00B111AB" w:rsidP="00B111AB">
      <w:pPr>
        <w:pStyle w:val="ListParagraph"/>
        <w:ind w:left="0"/>
        <w:rPr>
          <w:rFonts w:ascii="Trebuchet MS" w:hAnsi="Trebuchet MS"/>
        </w:rPr>
      </w:pPr>
    </w:p>
    <w:p w14:paraId="11FB1B96" w14:textId="77777777" w:rsidR="00B111AB" w:rsidRPr="00DE2436" w:rsidRDefault="00B111AB" w:rsidP="00B111AB">
      <w:pPr>
        <w:pStyle w:val="ListParagraph"/>
        <w:keepNext/>
        <w:ind w:left="0"/>
        <w:rPr>
          <w:rFonts w:ascii="Trebuchet MS" w:hAnsi="Trebuchet MS"/>
        </w:rPr>
      </w:pPr>
      <w:r w:rsidRPr="00DE2436">
        <w:rPr>
          <w:rFonts w:ascii="Trebuchet MS" w:hAnsi="Trebuchet MS"/>
          <w:b/>
        </w:rPr>
        <w:t>Meetings</w:t>
      </w:r>
    </w:p>
    <w:p w14:paraId="695E1518" w14:textId="77777777" w:rsidR="00B111AB" w:rsidRPr="00DE2436" w:rsidRDefault="00B111AB" w:rsidP="00B111AB">
      <w:pPr>
        <w:pStyle w:val="ListParagraph"/>
        <w:keepNext/>
        <w:ind w:left="0"/>
        <w:rPr>
          <w:rFonts w:ascii="Trebuchet MS" w:hAnsi="Trebuchet MS"/>
        </w:rPr>
      </w:pPr>
    </w:p>
    <w:p w14:paraId="3DFC7463" w14:textId="322D278C" w:rsidR="00B111AB" w:rsidRPr="00DE2436" w:rsidRDefault="00B111AB" w:rsidP="006D4C6B">
      <w:pPr>
        <w:pStyle w:val="ListParagraph"/>
        <w:keepNext/>
        <w:ind w:left="0"/>
        <w:rPr>
          <w:rFonts w:ascii="Trebuchet MS" w:hAnsi="Trebuchet MS"/>
        </w:rPr>
      </w:pPr>
      <w:r w:rsidRPr="00DE2436">
        <w:rPr>
          <w:rFonts w:ascii="Trebuchet MS" w:hAnsi="Trebuchet MS"/>
        </w:rPr>
        <w:t xml:space="preserve">The </w:t>
      </w:r>
      <w:r w:rsidR="001756D2">
        <w:rPr>
          <w:rFonts w:ascii="Trebuchet MS" w:hAnsi="Trebuchet MS"/>
        </w:rPr>
        <w:t>c</w:t>
      </w:r>
      <w:r w:rsidRPr="00DE2436">
        <w:rPr>
          <w:rFonts w:ascii="Trebuchet MS" w:hAnsi="Trebuchet MS"/>
        </w:rPr>
        <w:t>ommittee shall meet as required, and normally hold a meeting prior to each Board meeting.</w:t>
      </w:r>
      <w:r w:rsidR="006D4C6B">
        <w:rPr>
          <w:rFonts w:ascii="Trebuchet MS" w:hAnsi="Trebuchet MS"/>
        </w:rPr>
        <w:t xml:space="preserve"> </w:t>
      </w:r>
      <w:r w:rsidRPr="00DE2436">
        <w:rPr>
          <w:rFonts w:ascii="Trebuchet MS" w:hAnsi="Trebuchet MS"/>
        </w:rPr>
        <w:t xml:space="preserve">The </w:t>
      </w:r>
      <w:r w:rsidR="001756D2">
        <w:rPr>
          <w:rFonts w:ascii="Trebuchet MS" w:hAnsi="Trebuchet MS"/>
        </w:rPr>
        <w:t>c</w:t>
      </w:r>
      <w:r w:rsidRPr="00DE2436">
        <w:rPr>
          <w:rFonts w:ascii="Trebuchet MS" w:hAnsi="Trebuchet MS"/>
        </w:rPr>
        <w:t>ommittee may meet and act upon the vote of its members via telephone or other electronic communication equipment where all parties participating in the meeting can hear each other at the same time.</w:t>
      </w:r>
    </w:p>
    <w:p w14:paraId="4AFAED3F" w14:textId="2B8B5707" w:rsidR="004A25E2" w:rsidRPr="00DE2436" w:rsidRDefault="004A25E2" w:rsidP="00D3399C">
      <w:pPr>
        <w:rPr>
          <w:rFonts w:ascii="Trebuchet MS" w:hAnsi="Trebuchet MS"/>
        </w:rPr>
      </w:pPr>
    </w:p>
    <w:p w14:paraId="7713E819" w14:textId="77777777" w:rsidR="00DE2436" w:rsidRPr="00DE2436" w:rsidRDefault="00DE2436" w:rsidP="00DE2436">
      <w:pPr>
        <w:rPr>
          <w:rFonts w:ascii="Trebuchet MS" w:hAnsi="Trebuchet MS"/>
        </w:rPr>
      </w:pPr>
      <w:r w:rsidRPr="00DE2436">
        <w:rPr>
          <w:rFonts w:ascii="Trebuchet MS" w:hAnsi="Trebuchet MS"/>
        </w:rPr>
        <w:t>Non-board members on the committee do not have binding authority or voting power.</w:t>
      </w:r>
    </w:p>
    <w:p w14:paraId="1B967BB1" w14:textId="77777777" w:rsidR="00DE2436" w:rsidRPr="00DE2436" w:rsidRDefault="00DE2436" w:rsidP="00D3399C">
      <w:pPr>
        <w:rPr>
          <w:rFonts w:ascii="Trebuchet MS" w:hAnsi="Trebuchet MS"/>
        </w:rPr>
      </w:pPr>
    </w:p>
    <w:sectPr w:rsidR="00DE2436" w:rsidRPr="00DE2436" w:rsidSect="006D4C6B">
      <w:headerReference w:type="default" r:id="rId7"/>
      <w:headerReference w:type="first" r:id="rId8"/>
      <w:footerReference w:type="first" r:id="rId9"/>
      <w:pgSz w:w="12240" w:h="15840" w:code="1"/>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BA98" w14:textId="77777777" w:rsidR="00632C27" w:rsidRDefault="00632C27">
      <w:r>
        <w:separator/>
      </w:r>
    </w:p>
  </w:endnote>
  <w:endnote w:type="continuationSeparator" w:id="0">
    <w:p w14:paraId="34A3F481" w14:textId="77777777" w:rsidR="00632C27" w:rsidRDefault="0063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B0604020202020204"/>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8E54" w14:textId="77777777" w:rsidR="00DD32D0" w:rsidRDefault="00DD32D0" w:rsidP="00D95FA1">
    <w:r>
      <w:rPr>
        <w:noProof/>
      </w:rPr>
      <mc:AlternateContent>
        <mc:Choice Requires="wps">
          <w:drawing>
            <wp:anchor distT="0" distB="0" distL="114300" distR="114300" simplePos="0" relativeHeight="251663360" behindDoc="0" locked="0" layoutInCell="1" allowOverlap="1" wp14:anchorId="7565B594" wp14:editId="59F3F15D">
              <wp:simplePos x="0" y="0"/>
              <wp:positionH relativeFrom="column">
                <wp:posOffset>-393700</wp:posOffset>
              </wp:positionH>
              <wp:positionV relativeFrom="paragraph">
                <wp:posOffset>125730</wp:posOffset>
              </wp:positionV>
              <wp:extent cx="6858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2916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FG4gEAACcEAAAOAAAAZHJzL2Uyb0RvYy54bWysU02P2yAQvVfqf0DcGzsrbZRacfaQ1fbS&#10;j6jb/gCCIUYCBg1s7Pz7Djjxrtqq0q56wR6YeW/eY9jcjc6yk8JowLd8uag5U15CZ/yx5T9/PHxY&#10;cxaT8J2w4FXLzyryu+37d5shNOoGerCdQkYgPjZDaHmfUmiqKspeOREXEJSnQw3oRKIQj1WHYiB0&#10;Z6ubul5VA2AXEKSKkXbvp0O+LfhaK5m+aR1VYrbl1FsqK5b1kNdquxHNEUXojby0Id7QhRPGE+kM&#10;dS+SYE9o/oByRiJE0GkhwVWgtZGqaCA1y/o3NY+9CKpoIXNimG2K/w9Wfj3tkZmu5SvOvHB0RY8J&#10;hTn2ie3AezIQkK2yT0OIDaXv/B4vUQx7zKJHjS5/SQ4bi7fn2Vs1JiZpc7W+Xdc1XYG8nlXPhQFj&#10;+qTAsfzTcmt8li0acfocE5FR6jUlb1uf1wjWdA/G2hLkgVE7i+wk6KoPx2UBsE/uC3TT3sfbzD+h&#10;lfnK6QX7BRIxZfQqi53klb90tmpi/q402UWCJoIZaOIQUiqflhcW6yk7l2nqci6sS2f/LLzk51JV&#10;hvg1xXNFYQaf5mJnPODf2NN4bVlP+VcHJt3ZggN053LxxRqaxuLc5eXkcX8Zl/Ln9739BQAA//8D&#10;AFBLAwQUAAYACAAAACEAkJFENOEAAAAPAQAADwAAAGRycy9kb3ducmV2LnhtbEyPP2/CMBDF90r9&#10;DtZVYgMnAUUQ4qCoVZe2S4Gl2xFfk6ixHcUmhG/fQx3KctK9d3/eL99NphMjDb51VkG8iECQrZxu&#10;ba3geHidr0H4gFZj5ywpuJKHXfH4kGOm3cV+0rgPteAj1meooAmhz6T0VUMG/cL1ZNn7doPBwO1Q&#10;Sz3ghY+bTiZRlEqDreUPDfb03FD1sz8bBXIcv679+3L1tmo3HyUmpY7TUqnZ0/Sy5VJuQQSawv8G&#10;3Bg4PxQc7OTOVnvRKZinCQMFNjbMcRuI4jUrpz9FFrm85yh+AQAA//8DAFBLAQItABQABgAIAAAA&#10;IQC2gziS/gAAAOEBAAATAAAAAAAAAAAAAAAAAAAAAABbQ29udGVudF9UeXBlc10ueG1sUEsBAi0A&#10;FAAGAAgAAAAhADj9If/WAAAAlAEAAAsAAAAAAAAAAAAAAAAALwEAAF9yZWxzLy5yZWxzUEsBAi0A&#10;FAAGAAgAAAAhAPpR4UbiAQAAJwQAAA4AAAAAAAAAAAAAAAAALgIAAGRycy9lMm9Eb2MueG1sUEsB&#10;Ai0AFAAGAAgAAAAhAJCRRDThAAAADwEAAA8AAAAAAAAAAAAAAAAAPAQAAGRycy9kb3ducmV2Lnht&#10;bFBLBQYAAAAABAAEAPMAAABKBQAAAAA=&#10;" strokecolor="#f2f2f2 [3052]"/>
          </w:pict>
        </mc:Fallback>
      </mc:AlternateContent>
    </w:r>
  </w:p>
  <w:tbl>
    <w:tblPr>
      <w:tblStyle w:val="GridTable1Light-Accent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DD32D0" w14:paraId="59761B2B" w14:textId="77777777" w:rsidTr="1D59EA79">
      <w:trPr>
        <w:trHeight w:val="328"/>
      </w:trPr>
      <w:tc>
        <w:tcPr>
          <w:tcW w:w="3150" w:type="dxa"/>
          <w:vMerge w:val="restart"/>
          <w:vAlign w:val="center"/>
        </w:tcPr>
        <w:p w14:paraId="779A15A3" w14:textId="77777777" w:rsidR="00DD32D0" w:rsidRDefault="00DD32D0" w:rsidP="00D95FA1">
          <w:pPr>
            <w:pStyle w:val="Footer"/>
            <w:rPr>
              <w:rFonts w:ascii="Calibri" w:eastAsia="Calibri" w:hAnsi="Calibri" w:cs="Calibri"/>
              <w:b/>
              <w:bCs/>
              <w:noProof/>
            </w:rPr>
          </w:pPr>
          <w:r>
            <w:rPr>
              <w:noProof/>
            </w:rPr>
            <w:drawing>
              <wp:inline distT="0" distB="0" distL="0" distR="0" wp14:anchorId="7E7F6DB3" wp14:editId="426E3F06">
                <wp:extent cx="1841500" cy="326099"/>
                <wp:effectExtent l="0" t="0" r="0" b="4445"/>
                <wp:docPr id="1489881107"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6D3D0858" w14:textId="77777777" w:rsidR="00DD32D0" w:rsidRPr="00D724A4" w:rsidRDefault="00DD32D0"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DD32D0" w14:paraId="46D50676" w14:textId="77777777" w:rsidTr="1D59EA79">
      <w:trPr>
        <w:trHeight w:val="318"/>
      </w:trPr>
      <w:tc>
        <w:tcPr>
          <w:tcW w:w="3150" w:type="dxa"/>
          <w:vMerge/>
        </w:tcPr>
        <w:p w14:paraId="22FD1C8F" w14:textId="77777777" w:rsidR="00DD32D0" w:rsidRDefault="00DD32D0" w:rsidP="00D95FA1">
          <w:pPr>
            <w:pStyle w:val="Footer"/>
            <w:rPr>
              <w:rFonts w:ascii="Calibri" w:eastAsia="Calibri" w:hAnsi="Calibri" w:cs="Calibri"/>
              <w:b/>
              <w:bCs/>
              <w:noProof/>
            </w:rPr>
          </w:pPr>
        </w:p>
      </w:tc>
      <w:tc>
        <w:tcPr>
          <w:tcW w:w="7740" w:type="dxa"/>
          <w:vAlign w:val="center"/>
        </w:tcPr>
        <w:p w14:paraId="633D6EEB" w14:textId="076F7CE9" w:rsidR="00DD32D0" w:rsidRPr="00CF0F3A" w:rsidRDefault="00632C27" w:rsidP="00D95FA1">
          <w:pPr>
            <w:pStyle w:val="BasicParagraph"/>
            <w:rPr>
              <w:rFonts w:ascii="Calibri-Bold" w:hAnsi="Calibri-Bold" w:cs="Calibri-Bold"/>
              <w:b/>
              <w:bCs/>
              <w:color w:val="00447C"/>
              <w:sz w:val="18"/>
              <w:szCs w:val="18"/>
            </w:rPr>
          </w:pPr>
          <w:hyperlink r:id="rId3" w:history="1">
            <w:r w:rsidR="00DD32D0" w:rsidRPr="00D95FA1">
              <w:rPr>
                <w:rStyle w:val="Hyperlink"/>
                <w:rFonts w:ascii="Calibri-Bold" w:hAnsi="Calibri-Bold" w:cs="Calibri-Bold"/>
                <w:b/>
                <w:bCs/>
                <w:color w:val="00447C"/>
                <w:sz w:val="18"/>
                <w:szCs w:val="18"/>
                <w:u w:val="none"/>
              </w:rPr>
              <w:t>MindTheGapConsult@Gmail.com</w:t>
            </w:r>
          </w:hyperlink>
          <w:r w:rsidR="00DD32D0" w:rsidRPr="00D95FA1">
            <w:rPr>
              <w:rFonts w:ascii="Calibri-Bold" w:hAnsi="Calibri-Bold" w:cs="Calibri-Bold"/>
              <w:b/>
              <w:bCs/>
              <w:color w:val="00447C"/>
              <w:sz w:val="18"/>
              <w:szCs w:val="18"/>
            </w:rPr>
            <w:t xml:space="preserve"> </w:t>
          </w:r>
          <w:r w:rsidR="00DD32D0" w:rsidRPr="00CF0F3A">
            <w:rPr>
              <w:rFonts w:ascii="Calibri-Bold" w:hAnsi="Calibri-Bold" w:cs="Calibri-Bold"/>
              <w:b/>
              <w:bCs/>
              <w:color w:val="D9D9D9" w:themeColor="background1" w:themeShade="D9"/>
              <w:sz w:val="18"/>
              <w:szCs w:val="18"/>
            </w:rPr>
            <w:t xml:space="preserve">• </w:t>
          </w:r>
          <w:hyperlink r:id="rId4" w:history="1">
            <w:r w:rsidR="00DD32D0" w:rsidRPr="00CE06AA">
              <w:rPr>
                <w:rStyle w:val="Hyperlink"/>
                <w:rFonts w:ascii="Calibri" w:eastAsia="Calibri" w:hAnsi="Calibri" w:cs="Calibri"/>
                <w:b/>
                <w:sz w:val="18"/>
                <w:szCs w:val="18"/>
              </w:rPr>
              <w:t>NonProfitFixer.com</w:t>
            </w:r>
          </w:hyperlink>
        </w:p>
      </w:tc>
    </w:tr>
  </w:tbl>
  <w:p w14:paraId="66C78923" w14:textId="502C94C7" w:rsidR="00DD32D0" w:rsidRDefault="00DD32D0" w:rsidP="009E03F9">
    <w:pPr>
      <w:pStyle w:val="Footer"/>
      <w:jc w:val="center"/>
      <w:rPr>
        <w:b/>
        <w:b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CFAD" w14:textId="77777777" w:rsidR="00632C27" w:rsidRDefault="00632C27">
      <w:r>
        <w:separator/>
      </w:r>
    </w:p>
  </w:footnote>
  <w:footnote w:type="continuationSeparator" w:id="0">
    <w:p w14:paraId="078F8344" w14:textId="77777777" w:rsidR="00632C27" w:rsidRDefault="0063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5AAD" w14:textId="3342FDE3" w:rsidR="00DD32D0" w:rsidRDefault="00DD32D0" w:rsidP="009344CC">
    <w:pPr>
      <w:pStyle w:val="Header"/>
      <w:jc w:val="center"/>
    </w:pPr>
    <w:r>
      <w:rPr>
        <w:noProof/>
      </w:rPr>
      <w:drawing>
        <wp:inline distT="0" distB="0" distL="0" distR="0" wp14:anchorId="2C12B4CC" wp14:editId="64AECCF3">
          <wp:extent cx="937209" cy="1171511"/>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37209" cy="11715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E2E" w14:textId="155700D7" w:rsidR="00DD32D0" w:rsidRDefault="00DD32D0" w:rsidP="1D59EA79">
    <w:pPr>
      <w:pStyle w:val="Header"/>
      <w:tabs>
        <w:tab w:val="clear" w:pos="4320"/>
        <w:tab w:val="clear" w:pos="8640"/>
        <w:tab w:val="left" w:pos="5910"/>
      </w:tabs>
      <w:jc w:val="center"/>
    </w:pPr>
    <w:r>
      <w:rPr>
        <w:noProof/>
      </w:rPr>
      <w:drawing>
        <wp:inline distT="0" distB="0" distL="0" distR="0" wp14:anchorId="23F08B23" wp14:editId="5FDB1DFE">
          <wp:extent cx="937209" cy="1171511"/>
          <wp:effectExtent l="0" t="0" r="0" b="0"/>
          <wp:docPr id="4011909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37209" cy="1171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067"/>
    <w:multiLevelType w:val="hybridMultilevel"/>
    <w:tmpl w:val="F7B6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7144E"/>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 w15:restartNumberingAfterBreak="0">
    <w:nsid w:val="19BF7AA8"/>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3" w15:restartNumberingAfterBreak="0">
    <w:nsid w:val="273E232F"/>
    <w:multiLevelType w:val="hybridMultilevel"/>
    <w:tmpl w:val="0788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A1C76"/>
    <w:multiLevelType w:val="hybridMultilevel"/>
    <w:tmpl w:val="354C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A41576"/>
    <w:multiLevelType w:val="hybridMultilevel"/>
    <w:tmpl w:val="44DAD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F4764"/>
    <w:multiLevelType w:val="hybridMultilevel"/>
    <w:tmpl w:val="20908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F2F1D"/>
    <w:multiLevelType w:val="hybridMultilevel"/>
    <w:tmpl w:val="40FEB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82710"/>
    <w:multiLevelType w:val="hybridMultilevel"/>
    <w:tmpl w:val="8F0C6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44B33"/>
    <w:multiLevelType w:val="hybridMultilevel"/>
    <w:tmpl w:val="36D85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85155"/>
    <w:multiLevelType w:val="hybridMultilevel"/>
    <w:tmpl w:val="DE60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1C4EFF"/>
    <w:multiLevelType w:val="hybridMultilevel"/>
    <w:tmpl w:val="8752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883AF3"/>
    <w:multiLevelType w:val="hybridMultilevel"/>
    <w:tmpl w:val="80688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4370FD"/>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14" w15:restartNumberingAfterBreak="0">
    <w:nsid w:val="57FA5835"/>
    <w:multiLevelType w:val="hybridMultilevel"/>
    <w:tmpl w:val="511A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9C707F"/>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16" w15:restartNumberingAfterBreak="0">
    <w:nsid w:val="5B371D2B"/>
    <w:multiLevelType w:val="hybridMultilevel"/>
    <w:tmpl w:val="7F10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C111F2"/>
    <w:multiLevelType w:val="hybridMultilevel"/>
    <w:tmpl w:val="519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450DA"/>
    <w:multiLevelType w:val="hybridMultilevel"/>
    <w:tmpl w:val="776010D6"/>
    <w:lvl w:ilvl="0" w:tplc="4A807D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A37AEA"/>
    <w:multiLevelType w:val="hybridMultilevel"/>
    <w:tmpl w:val="806E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F934F0"/>
    <w:multiLevelType w:val="hybridMultilevel"/>
    <w:tmpl w:val="396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6"/>
  </w:num>
  <w:num w:numId="4">
    <w:abstractNumId w:val="4"/>
  </w:num>
  <w:num w:numId="5">
    <w:abstractNumId w:val="20"/>
  </w:num>
  <w:num w:numId="6">
    <w:abstractNumId w:val="14"/>
  </w:num>
  <w:num w:numId="7">
    <w:abstractNumId w:val="7"/>
  </w:num>
  <w:num w:numId="8">
    <w:abstractNumId w:val="19"/>
  </w:num>
  <w:num w:numId="9">
    <w:abstractNumId w:val="10"/>
  </w:num>
  <w:num w:numId="10">
    <w:abstractNumId w:val="3"/>
  </w:num>
  <w:num w:numId="11">
    <w:abstractNumId w:val="11"/>
  </w:num>
  <w:num w:numId="12">
    <w:abstractNumId w:val="12"/>
  </w:num>
  <w:num w:numId="13">
    <w:abstractNumId w:val="0"/>
  </w:num>
  <w:num w:numId="14">
    <w:abstractNumId w:val="13"/>
  </w:num>
  <w:num w:numId="15">
    <w:abstractNumId w:val="15"/>
  </w:num>
  <w:num w:numId="16">
    <w:abstractNumId w:val="1"/>
  </w:num>
  <w:num w:numId="17">
    <w:abstractNumId w:val="2"/>
  </w:num>
  <w:num w:numId="18">
    <w:abstractNumId w:val="5"/>
  </w:num>
  <w:num w:numId="19">
    <w:abstractNumId w:val="17"/>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B9"/>
    <w:rsid w:val="00024428"/>
    <w:rsid w:val="00043E91"/>
    <w:rsid w:val="000536E3"/>
    <w:rsid w:val="00057CDD"/>
    <w:rsid w:val="000A6F73"/>
    <w:rsid w:val="000C0360"/>
    <w:rsid w:val="000D3417"/>
    <w:rsid w:val="00102945"/>
    <w:rsid w:val="00120EC2"/>
    <w:rsid w:val="00121748"/>
    <w:rsid w:val="00124D73"/>
    <w:rsid w:val="00132845"/>
    <w:rsid w:val="001374B0"/>
    <w:rsid w:val="00142DFF"/>
    <w:rsid w:val="00151EC2"/>
    <w:rsid w:val="001756D2"/>
    <w:rsid w:val="00183100"/>
    <w:rsid w:val="00187957"/>
    <w:rsid w:val="001927AF"/>
    <w:rsid w:val="001A7BDF"/>
    <w:rsid w:val="001D58C7"/>
    <w:rsid w:val="001D6311"/>
    <w:rsid w:val="001E370C"/>
    <w:rsid w:val="002349C8"/>
    <w:rsid w:val="00247FEA"/>
    <w:rsid w:val="0025079A"/>
    <w:rsid w:val="002838CB"/>
    <w:rsid w:val="002A2FAD"/>
    <w:rsid w:val="002A4E48"/>
    <w:rsid w:val="002C5AF4"/>
    <w:rsid w:val="002C6E03"/>
    <w:rsid w:val="002D36B4"/>
    <w:rsid w:val="002D58DB"/>
    <w:rsid w:val="002E4D42"/>
    <w:rsid w:val="0030074D"/>
    <w:rsid w:val="00331F08"/>
    <w:rsid w:val="00335C9C"/>
    <w:rsid w:val="00364AD7"/>
    <w:rsid w:val="003653D5"/>
    <w:rsid w:val="003706F8"/>
    <w:rsid w:val="0039018F"/>
    <w:rsid w:val="003903B3"/>
    <w:rsid w:val="003D02CC"/>
    <w:rsid w:val="003E4C18"/>
    <w:rsid w:val="003E7314"/>
    <w:rsid w:val="003F7F54"/>
    <w:rsid w:val="00404E0A"/>
    <w:rsid w:val="00415487"/>
    <w:rsid w:val="00433144"/>
    <w:rsid w:val="00434313"/>
    <w:rsid w:val="00444726"/>
    <w:rsid w:val="00445A31"/>
    <w:rsid w:val="004856C6"/>
    <w:rsid w:val="004949E9"/>
    <w:rsid w:val="004A25E2"/>
    <w:rsid w:val="004B35C1"/>
    <w:rsid w:val="004B375B"/>
    <w:rsid w:val="004C74E5"/>
    <w:rsid w:val="004D3E9B"/>
    <w:rsid w:val="004E01D8"/>
    <w:rsid w:val="004E1216"/>
    <w:rsid w:val="004F316C"/>
    <w:rsid w:val="00516E1F"/>
    <w:rsid w:val="00524749"/>
    <w:rsid w:val="005512AF"/>
    <w:rsid w:val="00575623"/>
    <w:rsid w:val="00587D7D"/>
    <w:rsid w:val="005946D7"/>
    <w:rsid w:val="005B71B5"/>
    <w:rsid w:val="005D3FA7"/>
    <w:rsid w:val="005E16E5"/>
    <w:rsid w:val="005E1F78"/>
    <w:rsid w:val="005E5399"/>
    <w:rsid w:val="005F1550"/>
    <w:rsid w:val="006067C7"/>
    <w:rsid w:val="00607170"/>
    <w:rsid w:val="00632C27"/>
    <w:rsid w:val="00634209"/>
    <w:rsid w:val="00634EC2"/>
    <w:rsid w:val="00644FBE"/>
    <w:rsid w:val="006524E7"/>
    <w:rsid w:val="00654813"/>
    <w:rsid w:val="00663CE9"/>
    <w:rsid w:val="00667170"/>
    <w:rsid w:val="00672875"/>
    <w:rsid w:val="00681D71"/>
    <w:rsid w:val="006B0D38"/>
    <w:rsid w:val="006D1EA8"/>
    <w:rsid w:val="006D4C6B"/>
    <w:rsid w:val="006F7D7B"/>
    <w:rsid w:val="00703132"/>
    <w:rsid w:val="0073162E"/>
    <w:rsid w:val="00735B6A"/>
    <w:rsid w:val="0074460C"/>
    <w:rsid w:val="00744EDB"/>
    <w:rsid w:val="00751C24"/>
    <w:rsid w:val="007601ED"/>
    <w:rsid w:val="0076079A"/>
    <w:rsid w:val="007777B2"/>
    <w:rsid w:val="00784DBF"/>
    <w:rsid w:val="00787641"/>
    <w:rsid w:val="007C3D20"/>
    <w:rsid w:val="007D4E50"/>
    <w:rsid w:val="007F2967"/>
    <w:rsid w:val="007F3B44"/>
    <w:rsid w:val="007F3F81"/>
    <w:rsid w:val="00836A63"/>
    <w:rsid w:val="008479F3"/>
    <w:rsid w:val="00895A4B"/>
    <w:rsid w:val="008A22BD"/>
    <w:rsid w:val="008B18B4"/>
    <w:rsid w:val="008B18F8"/>
    <w:rsid w:val="008C4498"/>
    <w:rsid w:val="008C5F8C"/>
    <w:rsid w:val="008D00F8"/>
    <w:rsid w:val="008E0AAA"/>
    <w:rsid w:val="008E2A9F"/>
    <w:rsid w:val="008F3266"/>
    <w:rsid w:val="009344CC"/>
    <w:rsid w:val="00947069"/>
    <w:rsid w:val="00965C9A"/>
    <w:rsid w:val="009746FF"/>
    <w:rsid w:val="0099562F"/>
    <w:rsid w:val="009978B3"/>
    <w:rsid w:val="009A20C3"/>
    <w:rsid w:val="009C378F"/>
    <w:rsid w:val="009C66E7"/>
    <w:rsid w:val="009C77A4"/>
    <w:rsid w:val="009D27B1"/>
    <w:rsid w:val="009E03F9"/>
    <w:rsid w:val="009F0CF6"/>
    <w:rsid w:val="009F6D42"/>
    <w:rsid w:val="00A14A6D"/>
    <w:rsid w:val="00A335FA"/>
    <w:rsid w:val="00A3420B"/>
    <w:rsid w:val="00A42888"/>
    <w:rsid w:val="00A43876"/>
    <w:rsid w:val="00A5704C"/>
    <w:rsid w:val="00A66B48"/>
    <w:rsid w:val="00AB304F"/>
    <w:rsid w:val="00AC31B6"/>
    <w:rsid w:val="00AC6D41"/>
    <w:rsid w:val="00AE27B1"/>
    <w:rsid w:val="00B111AB"/>
    <w:rsid w:val="00B22CFD"/>
    <w:rsid w:val="00B22E8B"/>
    <w:rsid w:val="00B27D86"/>
    <w:rsid w:val="00B32AA3"/>
    <w:rsid w:val="00B36580"/>
    <w:rsid w:val="00B421C6"/>
    <w:rsid w:val="00B425B6"/>
    <w:rsid w:val="00B672A9"/>
    <w:rsid w:val="00B82C5A"/>
    <w:rsid w:val="00BA04D5"/>
    <w:rsid w:val="00BC7568"/>
    <w:rsid w:val="00BD67B2"/>
    <w:rsid w:val="00BD685F"/>
    <w:rsid w:val="00BD6A1D"/>
    <w:rsid w:val="00BE0432"/>
    <w:rsid w:val="00C02ECC"/>
    <w:rsid w:val="00C05221"/>
    <w:rsid w:val="00C17850"/>
    <w:rsid w:val="00C32287"/>
    <w:rsid w:val="00C361AD"/>
    <w:rsid w:val="00C36BF0"/>
    <w:rsid w:val="00C50F91"/>
    <w:rsid w:val="00C61650"/>
    <w:rsid w:val="00C87F65"/>
    <w:rsid w:val="00C90D1B"/>
    <w:rsid w:val="00CA3FC1"/>
    <w:rsid w:val="00CB0C74"/>
    <w:rsid w:val="00CF0F3A"/>
    <w:rsid w:val="00D329BC"/>
    <w:rsid w:val="00D3399C"/>
    <w:rsid w:val="00D45627"/>
    <w:rsid w:val="00D475F0"/>
    <w:rsid w:val="00D724A4"/>
    <w:rsid w:val="00D81EBF"/>
    <w:rsid w:val="00D83722"/>
    <w:rsid w:val="00D8513A"/>
    <w:rsid w:val="00D866BE"/>
    <w:rsid w:val="00D91FAE"/>
    <w:rsid w:val="00D95FA1"/>
    <w:rsid w:val="00DA7D84"/>
    <w:rsid w:val="00DB1824"/>
    <w:rsid w:val="00DD32D0"/>
    <w:rsid w:val="00DE2436"/>
    <w:rsid w:val="00DE41F1"/>
    <w:rsid w:val="00DF3D37"/>
    <w:rsid w:val="00E02764"/>
    <w:rsid w:val="00E10A3B"/>
    <w:rsid w:val="00E42BF0"/>
    <w:rsid w:val="00E60DC6"/>
    <w:rsid w:val="00E67FB6"/>
    <w:rsid w:val="00E74017"/>
    <w:rsid w:val="00E97D25"/>
    <w:rsid w:val="00EB2BCB"/>
    <w:rsid w:val="00ED4289"/>
    <w:rsid w:val="00EE2F78"/>
    <w:rsid w:val="00EF46C8"/>
    <w:rsid w:val="00EF51A2"/>
    <w:rsid w:val="00F05C12"/>
    <w:rsid w:val="00F14474"/>
    <w:rsid w:val="00F17D76"/>
    <w:rsid w:val="00F316C2"/>
    <w:rsid w:val="00F43BB9"/>
    <w:rsid w:val="00F47051"/>
    <w:rsid w:val="00F76493"/>
    <w:rsid w:val="00F8340F"/>
    <w:rsid w:val="00FA11BB"/>
    <w:rsid w:val="00FA2D0A"/>
    <w:rsid w:val="00FA3E72"/>
    <w:rsid w:val="00FA6905"/>
    <w:rsid w:val="00FB4E1F"/>
    <w:rsid w:val="00FC22D0"/>
    <w:rsid w:val="00FD152D"/>
    <w:rsid w:val="00FF6914"/>
    <w:rsid w:val="09588CD3"/>
    <w:rsid w:val="11FA66B7"/>
    <w:rsid w:val="13CAB229"/>
    <w:rsid w:val="1D59EA79"/>
    <w:rsid w:val="29065172"/>
    <w:rsid w:val="2930C85A"/>
    <w:rsid w:val="2DBB90F7"/>
    <w:rsid w:val="459D69F5"/>
    <w:rsid w:val="45D7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0C85A"/>
  <w15:docId w15:val="{2A77DC16-731F-4CD5-888D-8012DACE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22BD"/>
    <w:pPr>
      <w:keepNext/>
      <w:autoSpaceDE w:val="0"/>
      <w:autoSpaceDN w:val="0"/>
      <w:jc w:val="center"/>
      <w:outlineLvl w:val="0"/>
    </w:pPr>
    <w:rPr>
      <w:b/>
      <w:bCs/>
    </w:rPr>
  </w:style>
  <w:style w:type="paragraph" w:styleId="Heading2">
    <w:name w:val="heading 2"/>
    <w:basedOn w:val="Normal"/>
    <w:next w:val="Normal"/>
    <w:link w:val="Heading2Char"/>
    <w:semiHidden/>
    <w:unhideWhenUsed/>
    <w:qFormat/>
    <w:rsid w:val="005D3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CC"/>
    <w:pPr>
      <w:tabs>
        <w:tab w:val="center" w:pos="4320"/>
        <w:tab w:val="right" w:pos="8640"/>
      </w:tabs>
    </w:pPr>
  </w:style>
  <w:style w:type="paragraph" w:styleId="Footer">
    <w:name w:val="footer"/>
    <w:basedOn w:val="Normal"/>
    <w:rsid w:val="009344CC"/>
    <w:pPr>
      <w:tabs>
        <w:tab w:val="center" w:pos="4320"/>
        <w:tab w:val="right" w:pos="8640"/>
      </w:tabs>
    </w:pPr>
  </w:style>
  <w:style w:type="character" w:styleId="PageNumber">
    <w:name w:val="page number"/>
    <w:basedOn w:val="DefaultParagraphFont"/>
    <w:rsid w:val="002E4D42"/>
  </w:style>
  <w:style w:type="character" w:styleId="CommentReference">
    <w:name w:val="annotation reference"/>
    <w:rsid w:val="00BD67B2"/>
    <w:rPr>
      <w:sz w:val="16"/>
      <w:szCs w:val="16"/>
    </w:rPr>
  </w:style>
  <w:style w:type="paragraph" w:styleId="CommentText">
    <w:name w:val="annotation text"/>
    <w:basedOn w:val="Normal"/>
    <w:link w:val="CommentTextChar"/>
    <w:rsid w:val="00BD67B2"/>
    <w:rPr>
      <w:sz w:val="20"/>
      <w:szCs w:val="20"/>
    </w:rPr>
  </w:style>
  <w:style w:type="character" w:customStyle="1" w:styleId="CommentTextChar">
    <w:name w:val="Comment Text Char"/>
    <w:basedOn w:val="DefaultParagraphFont"/>
    <w:link w:val="CommentText"/>
    <w:rsid w:val="00BD67B2"/>
  </w:style>
  <w:style w:type="paragraph" w:styleId="CommentSubject">
    <w:name w:val="annotation subject"/>
    <w:basedOn w:val="CommentText"/>
    <w:next w:val="CommentText"/>
    <w:link w:val="CommentSubjectChar"/>
    <w:rsid w:val="00BD67B2"/>
    <w:rPr>
      <w:b/>
      <w:bCs/>
    </w:rPr>
  </w:style>
  <w:style w:type="character" w:customStyle="1" w:styleId="CommentSubjectChar">
    <w:name w:val="Comment Subject Char"/>
    <w:link w:val="CommentSubject"/>
    <w:rsid w:val="00BD67B2"/>
    <w:rPr>
      <w:b/>
      <w:bCs/>
    </w:rPr>
  </w:style>
  <w:style w:type="paragraph" w:styleId="BalloonText">
    <w:name w:val="Balloon Text"/>
    <w:basedOn w:val="Normal"/>
    <w:link w:val="BalloonTextChar"/>
    <w:rsid w:val="00BD67B2"/>
    <w:rPr>
      <w:rFonts w:ascii="Tahoma" w:hAnsi="Tahoma" w:cs="Tahoma"/>
      <w:sz w:val="16"/>
      <w:szCs w:val="16"/>
    </w:rPr>
  </w:style>
  <w:style w:type="character" w:customStyle="1" w:styleId="BalloonTextChar">
    <w:name w:val="Balloon Text Char"/>
    <w:link w:val="BalloonText"/>
    <w:rsid w:val="00BD67B2"/>
    <w:rPr>
      <w:rFonts w:ascii="Tahoma" w:hAnsi="Tahoma" w:cs="Tahoma"/>
      <w:sz w:val="16"/>
      <w:szCs w:val="16"/>
    </w:rPr>
  </w:style>
  <w:style w:type="character" w:customStyle="1" w:styleId="apple-style-span">
    <w:name w:val="apple-style-span"/>
    <w:rsid w:val="00E74017"/>
  </w:style>
  <w:style w:type="paragraph" w:styleId="ListParagraph">
    <w:name w:val="List Paragraph"/>
    <w:basedOn w:val="Normal"/>
    <w:link w:val="ListParagraphChar"/>
    <w:uiPriority w:val="34"/>
    <w:qFormat/>
    <w:rsid w:val="0073162E"/>
    <w:pPr>
      <w:ind w:left="720"/>
      <w:contextualSpacing/>
    </w:pPr>
  </w:style>
  <w:style w:type="character" w:customStyle="1" w:styleId="Heading1Char">
    <w:name w:val="Heading 1 Char"/>
    <w:basedOn w:val="DefaultParagraphFont"/>
    <w:link w:val="Heading1"/>
    <w:rsid w:val="008A22BD"/>
    <w:rPr>
      <w:b/>
      <w:bCs/>
      <w:sz w:val="24"/>
      <w:szCs w:val="24"/>
    </w:rPr>
  </w:style>
  <w:style w:type="table" w:styleId="TableGrid">
    <w:name w:val="Table Grid"/>
    <w:basedOn w:val="TableNormal"/>
    <w:rsid w:val="008F3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45627"/>
    <w:rPr>
      <w:color w:val="0000FF" w:themeColor="hyperlink"/>
      <w:u w:val="single"/>
    </w:rPr>
  </w:style>
  <w:style w:type="character" w:customStyle="1" w:styleId="Heading2Char">
    <w:name w:val="Heading 2 Char"/>
    <w:basedOn w:val="DefaultParagraphFont"/>
    <w:link w:val="Heading2"/>
    <w:semiHidden/>
    <w:rsid w:val="005D3FA7"/>
    <w:rPr>
      <w:rFonts w:asciiTheme="majorHAnsi" w:eastAsiaTheme="majorEastAsia" w:hAnsiTheme="majorHAnsi" w:cstheme="majorBidi"/>
      <w:b/>
      <w:bCs/>
      <w:color w:val="4F81BD" w:themeColor="accent1"/>
      <w:sz w:val="26"/>
      <w:szCs w:val="26"/>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D91FAE"/>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8E0AAA"/>
    <w:rPr>
      <w:color w:val="808080"/>
      <w:shd w:val="clear" w:color="auto" w:fill="E6E6E6"/>
    </w:rPr>
  </w:style>
  <w:style w:type="character" w:styleId="FollowedHyperlink">
    <w:name w:val="FollowedHyperlink"/>
    <w:basedOn w:val="DefaultParagraphFont"/>
    <w:semiHidden/>
    <w:unhideWhenUsed/>
    <w:rsid w:val="008E0AAA"/>
    <w:rPr>
      <w:color w:val="800080" w:themeColor="followedHyperlink"/>
      <w:u w:val="single"/>
    </w:rPr>
  </w:style>
  <w:style w:type="character" w:customStyle="1" w:styleId="ListParagraphChar">
    <w:name w:val="List Paragraph Char"/>
    <w:basedOn w:val="DefaultParagraphFont"/>
    <w:link w:val="ListParagraph"/>
    <w:uiPriority w:val="34"/>
    <w:rsid w:val="00B111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indthegapconsult@gmail.com?subject=Interest%20in%20Mind%20the%20Gap%20Consulting" TargetMode="External"/><Relationship Id="rId2" Type="http://schemas.openxmlformats.org/officeDocument/2006/relationships/image" Target="media/image2.png"/><Relationship Id="rId1" Type="http://schemas.openxmlformats.org/officeDocument/2006/relationships/hyperlink" Target="http://mindthegapconsulting.org/" TargetMode="External"/><Relationship Id="rId4" Type="http://schemas.openxmlformats.org/officeDocument/2006/relationships/hyperlink" Target="http://www.nonprofitfix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Lukas</dc:creator>
  <cp:lastModifiedBy>sean kosofsky</cp:lastModifiedBy>
  <cp:revision>3</cp:revision>
  <cp:lastPrinted>2013-07-30T13:46:00Z</cp:lastPrinted>
  <dcterms:created xsi:type="dcterms:W3CDTF">2020-01-03T21:18:00Z</dcterms:created>
  <dcterms:modified xsi:type="dcterms:W3CDTF">2020-01-03T21:36:00Z</dcterms:modified>
</cp:coreProperties>
</file>